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sidRPr="008917AA">
        <w:rPr>
          <w:noProof/>
          <w:lang w:eastAsia="de-DE"/>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36444B" w:rsidRDefault="0036444B" w:rsidP="0036444B">
      <w:pPr>
        <w:pStyle w:val="Titel"/>
        <w:jc w:val="both"/>
        <w:rPr>
          <w:rFonts w:asciiTheme="minorHAnsi" w:hAnsiTheme="minorHAnsi" w:cstheme="minorHAnsi"/>
          <w:color w:val="auto"/>
          <w:sz w:val="22"/>
          <w:szCs w:val="22"/>
        </w:rPr>
      </w:pP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t>20. September 2018</w:t>
      </w:r>
    </w:p>
    <w:p w:rsidR="00426A49" w:rsidRDefault="0087493F" w:rsidP="00426A49">
      <w:pPr>
        <w:pStyle w:val="Titel"/>
        <w:jc w:val="both"/>
        <w:rPr>
          <w:rFonts w:ascii="Calibri" w:hAnsi="Calibri" w:cs="Calibri"/>
        </w:rPr>
      </w:pPr>
      <w:r>
        <w:rPr>
          <w:sz w:val="48"/>
          <w:szCs w:val="48"/>
        </w:rPr>
        <w:t xml:space="preserve">Plasser &amp; Theurer als Lieferant des Jahres </w:t>
      </w:r>
      <w:r w:rsidR="005572B2">
        <w:rPr>
          <w:sz w:val="48"/>
          <w:szCs w:val="48"/>
        </w:rPr>
        <w:t>der Deutschen Bahn ausgezeichnet</w:t>
      </w:r>
    </w:p>
    <w:p w:rsidR="00426A49" w:rsidRDefault="00426A49" w:rsidP="0036444B">
      <w:pPr>
        <w:spacing w:after="240" w:line="280" w:lineRule="exact"/>
        <w:jc w:val="both"/>
        <w:rPr>
          <w:rStyle w:val="Fett"/>
          <w:sz w:val="24"/>
          <w:szCs w:val="24"/>
        </w:rPr>
      </w:pPr>
      <w:r w:rsidRPr="00426A49">
        <w:rPr>
          <w:rStyle w:val="Fett"/>
          <w:sz w:val="24"/>
          <w:szCs w:val="24"/>
        </w:rPr>
        <w:t>Im Rahmen eines Festakts auf der internationalen Fachmesse für Bahn- und Verkehrstechnik „</w:t>
      </w:r>
      <w:proofErr w:type="spellStart"/>
      <w:r w:rsidRPr="00426A49">
        <w:rPr>
          <w:rStyle w:val="Fett"/>
          <w:sz w:val="24"/>
          <w:szCs w:val="24"/>
        </w:rPr>
        <w:t>InnoTrans</w:t>
      </w:r>
      <w:proofErr w:type="spellEnd"/>
      <w:r w:rsidRPr="00426A49">
        <w:rPr>
          <w:rStyle w:val="Fett"/>
          <w:sz w:val="24"/>
          <w:szCs w:val="24"/>
        </w:rPr>
        <w:t>“ in Berlin wurde Plasser &amp; Theurer in der Kategorie „Schienenfahrzeuge und Schienenfahrzeugteile</w:t>
      </w:r>
      <w:r w:rsidR="0036444B">
        <w:rPr>
          <w:rStyle w:val="Fett"/>
          <w:sz w:val="24"/>
          <w:szCs w:val="24"/>
        </w:rPr>
        <w:t>“</w:t>
      </w:r>
      <w:r w:rsidRPr="00426A49">
        <w:rPr>
          <w:rStyle w:val="Fett"/>
          <w:sz w:val="24"/>
          <w:szCs w:val="24"/>
        </w:rPr>
        <w:t xml:space="preserve"> mit dem DB-Lieferantenprädikat ausgezeichnet.  </w:t>
      </w:r>
    </w:p>
    <w:p w:rsidR="004F4A85" w:rsidRPr="00094265" w:rsidRDefault="004F4A85" w:rsidP="0036444B">
      <w:pPr>
        <w:spacing w:after="240" w:line="280" w:lineRule="exact"/>
        <w:jc w:val="both"/>
        <w:rPr>
          <w:rFonts w:ascii="Calibri" w:hAnsi="Calibri" w:cs="Calibri"/>
        </w:rPr>
      </w:pPr>
      <w:r w:rsidRPr="00094265">
        <w:rPr>
          <w:rFonts w:ascii="Calibri" w:hAnsi="Calibri" w:cs="Calibri"/>
        </w:rPr>
        <w:t xml:space="preserve">Die DB ist mit einem jährlichen Einkaufsvolumen von mehr als 20 Milliarden Euro einer der größten Auftraggeber der deutschen Wirtschaft und steht weltweit mit über 30.000 Unternehmen in Geschäftsbeziehungen. Im Zwei-Jahres Rhythmus wird der Unternehmenspreis </w:t>
      </w:r>
      <w:r w:rsidR="00094265">
        <w:rPr>
          <w:rFonts w:ascii="Calibri" w:hAnsi="Calibri" w:cs="Calibri"/>
        </w:rPr>
        <w:t xml:space="preserve">in vier Kategorien </w:t>
      </w:r>
      <w:r w:rsidR="005572B2">
        <w:rPr>
          <w:rFonts w:ascii="Calibri" w:hAnsi="Calibri" w:cs="Calibri"/>
        </w:rPr>
        <w:t xml:space="preserve">vergeben. Ab 2018 zeichnet die Deutsche Bahn AG </w:t>
      </w:r>
      <w:r w:rsidR="00943F87">
        <w:rPr>
          <w:rFonts w:ascii="Calibri" w:hAnsi="Calibri" w:cs="Calibri"/>
        </w:rPr>
        <w:t xml:space="preserve">zusätzlich </w:t>
      </w:r>
      <w:r w:rsidR="005572B2">
        <w:rPr>
          <w:rFonts w:ascii="Calibri" w:hAnsi="Calibri" w:cs="Calibri"/>
        </w:rPr>
        <w:t xml:space="preserve">mit dem </w:t>
      </w:r>
      <w:proofErr w:type="spellStart"/>
      <w:r w:rsidR="005572B2">
        <w:rPr>
          <w:rFonts w:ascii="Calibri" w:hAnsi="Calibri" w:cs="Calibri"/>
        </w:rPr>
        <w:t>Supplier</w:t>
      </w:r>
      <w:proofErr w:type="spellEnd"/>
      <w:r w:rsidR="005572B2">
        <w:rPr>
          <w:rFonts w:ascii="Calibri" w:hAnsi="Calibri" w:cs="Calibri"/>
        </w:rPr>
        <w:t xml:space="preserve"> Innovation Award Lieferanten für besondere Innovationsleistungen aus. </w:t>
      </w:r>
    </w:p>
    <w:p w:rsidR="00F872BB" w:rsidRPr="00405606" w:rsidRDefault="00F872BB" w:rsidP="00405606">
      <w:pPr>
        <w:spacing w:after="240" w:line="280" w:lineRule="exact"/>
        <w:jc w:val="both"/>
        <w:rPr>
          <w:rFonts w:ascii="Calibri" w:hAnsi="Calibri" w:cs="Calibri"/>
        </w:rPr>
      </w:pPr>
      <w:r w:rsidRPr="00094265">
        <w:rPr>
          <w:rFonts w:ascii="Calibri" w:hAnsi="Calibri" w:cs="Calibri"/>
        </w:rPr>
        <w:t>P</w:t>
      </w:r>
      <w:r w:rsidR="004F4A85" w:rsidRPr="00094265">
        <w:rPr>
          <w:rFonts w:ascii="Calibri" w:hAnsi="Calibri" w:cs="Calibri"/>
        </w:rPr>
        <w:t xml:space="preserve">lasser &amp; Theurer erhält die Auszeichnung </w:t>
      </w:r>
      <w:r w:rsidR="00FD2705">
        <w:rPr>
          <w:rFonts w:ascii="Calibri" w:hAnsi="Calibri" w:cs="Calibri"/>
        </w:rPr>
        <w:t>in der Kategorie „Schienenfahrzeuge und Schienen</w:t>
      </w:r>
      <w:r w:rsidR="00426A49">
        <w:rPr>
          <w:rFonts w:ascii="Calibri" w:hAnsi="Calibri" w:cs="Calibri"/>
        </w:rPr>
        <w:t>-</w:t>
      </w:r>
      <w:r w:rsidR="00FD2705">
        <w:rPr>
          <w:rFonts w:ascii="Calibri" w:hAnsi="Calibri" w:cs="Calibri"/>
        </w:rPr>
        <w:t xml:space="preserve">fahrzeugteile“ </w:t>
      </w:r>
      <w:r w:rsidR="004F4A85" w:rsidRPr="00094265">
        <w:rPr>
          <w:rFonts w:ascii="Calibri" w:hAnsi="Calibri" w:cs="Calibri"/>
        </w:rPr>
        <w:t>für seine modulare Fahrzeugplattform MISS, die innovative und technologische Maßstäbe setzt.</w:t>
      </w:r>
      <w:r w:rsidRPr="00094265">
        <w:rPr>
          <w:rFonts w:ascii="Calibri" w:hAnsi="Calibri" w:cs="Calibri"/>
        </w:rPr>
        <w:t xml:space="preserve"> </w:t>
      </w:r>
      <w:r w:rsidR="004F4A85" w:rsidRPr="00094265">
        <w:rPr>
          <w:rFonts w:ascii="Calibri" w:hAnsi="Calibri" w:cs="Calibri"/>
        </w:rPr>
        <w:t>MISS steht für Multifunktionale Instandhaltungsfahrzeuge für die Schieneninfrastruktur. Mit diesen Fahrzeugen können unterschiedliche Anforderungen bei der Modernisierung und Instandsetzung der Infrastruktur wie zum Beispiel bei Bau-, Inspektions- und Instandhaltungsaufträgen flexibel umgesetzt werden.</w:t>
      </w:r>
      <w:r w:rsidRPr="00094265">
        <w:rPr>
          <w:rFonts w:ascii="Calibri" w:hAnsi="Calibri" w:cs="Calibri"/>
        </w:rPr>
        <w:t xml:space="preserve"> Zu den Kernaufgaben gehören Schwellentausch oder Passschienenwechsel nach Schienenbruch oder der Tausch ganzer Weichenher</w:t>
      </w:r>
      <w:r w:rsidR="00094265">
        <w:rPr>
          <w:rFonts w:ascii="Calibri" w:hAnsi="Calibri" w:cs="Calibri"/>
        </w:rPr>
        <w:t>z</w:t>
      </w:r>
      <w:r w:rsidRPr="00094265">
        <w:rPr>
          <w:rFonts w:ascii="Calibri" w:hAnsi="Calibri" w:cs="Calibri"/>
        </w:rPr>
        <w:t xml:space="preserve">stücke und </w:t>
      </w:r>
      <w:r w:rsidR="00405606">
        <w:rPr>
          <w:rFonts w:ascii="Calibri" w:hAnsi="Calibri" w:cs="Calibri"/>
        </w:rPr>
        <w:br/>
        <w:t>-</w:t>
      </w:r>
      <w:r w:rsidRPr="00094265">
        <w:rPr>
          <w:rFonts w:ascii="Calibri" w:hAnsi="Calibri" w:cs="Calibri"/>
        </w:rPr>
        <w:t xml:space="preserve">zungen. </w:t>
      </w:r>
      <w:r w:rsidR="00FD2705" w:rsidRPr="00094265">
        <w:rPr>
          <w:rFonts w:ascii="Calibri" w:hAnsi="Calibri" w:cs="Calibri"/>
        </w:rPr>
        <w:t>Die Neuentwicklung ist deutlich leistungsfähiger und flexibler als die bisherigen Fahrzeuge, die deutschlandweit laufend ersetzt werden.</w:t>
      </w:r>
      <w:r w:rsidR="00FD2705">
        <w:rPr>
          <w:rFonts w:ascii="Calibri" w:hAnsi="Calibri" w:cs="Calibri"/>
        </w:rPr>
        <w:t xml:space="preserve"> </w:t>
      </w:r>
      <w:r w:rsidRPr="00094265">
        <w:rPr>
          <w:rFonts w:ascii="Calibri" w:hAnsi="Calibri" w:cs="Calibri"/>
        </w:rPr>
        <w:t xml:space="preserve">Im Frühjahr 2018 wurde das erste von 28 bestellen Gleisarbeitsfahrzeugen jüngster Generation an die DB Netz AG übergeben. </w:t>
      </w:r>
    </w:p>
    <w:p w:rsidR="00094265" w:rsidRDefault="00094265" w:rsidP="0036444B">
      <w:pPr>
        <w:spacing w:after="240" w:line="280" w:lineRule="exact"/>
        <w:jc w:val="both"/>
        <w:rPr>
          <w:rFonts w:ascii="Calibri" w:hAnsi="Calibri" w:cs="Calibri"/>
        </w:rPr>
      </w:pPr>
      <w:r w:rsidRPr="003F7421">
        <w:rPr>
          <w:rFonts w:ascii="Calibri" w:hAnsi="Calibri" w:cs="Calibri"/>
        </w:rPr>
        <w:t>Das österreichische Familienunternehmen Plasser &amp; Theurer steht für Wirtschaftlichkeit und Innovation im Gleisbau</w:t>
      </w:r>
      <w:r>
        <w:rPr>
          <w:rFonts w:ascii="Calibri" w:hAnsi="Calibri" w:cs="Calibri"/>
        </w:rPr>
        <w:t xml:space="preserve">. </w:t>
      </w:r>
      <w:r w:rsidRPr="003F7421">
        <w:rPr>
          <w:rFonts w:ascii="Calibri" w:hAnsi="Calibri" w:cs="Calibri"/>
        </w:rPr>
        <w:t xml:space="preserve">Die Rolle als Technologieführer am Weltmarkt für Gleisbaumaschinen stellte Plasser &amp; Theurer jüngst durch die Einführung der ersten vollelektrischen Stopfmaschine unter Beweis. </w:t>
      </w:r>
    </w:p>
    <w:p w:rsidR="00FD2705" w:rsidRDefault="00FD2705" w:rsidP="0036444B">
      <w:pPr>
        <w:spacing w:after="240" w:line="280" w:lineRule="exact"/>
        <w:jc w:val="both"/>
        <w:rPr>
          <w:rFonts w:ascii="Calibri" w:hAnsi="Calibri" w:cs="Calibri"/>
        </w:rPr>
      </w:pPr>
      <w:r>
        <w:rPr>
          <w:rFonts w:ascii="Calibri" w:hAnsi="Calibri" w:cs="Calibri"/>
        </w:rPr>
        <w:t>Als einziges Unternehmen war Plasser &amp; Theurer dieses Jahr für einen zweiten Award nominiert</w:t>
      </w:r>
      <w:r w:rsidR="00581A3A">
        <w:rPr>
          <w:rFonts w:ascii="Calibri" w:hAnsi="Calibri" w:cs="Calibri"/>
        </w:rPr>
        <w:t>,</w:t>
      </w:r>
      <w:r w:rsidR="00581A3A" w:rsidRPr="00581A3A">
        <w:rPr>
          <w:rFonts w:ascii="Calibri" w:hAnsi="Calibri" w:cs="Calibri"/>
        </w:rPr>
        <w:t xml:space="preserve"> </w:t>
      </w:r>
      <w:r w:rsidR="00581A3A">
        <w:rPr>
          <w:rFonts w:ascii="Calibri" w:hAnsi="Calibri" w:cs="Calibri"/>
        </w:rPr>
        <w:t xml:space="preserve">den </w:t>
      </w:r>
      <w:proofErr w:type="spellStart"/>
      <w:r w:rsidR="00581A3A">
        <w:rPr>
          <w:rFonts w:ascii="Calibri" w:hAnsi="Calibri" w:cs="Calibri"/>
        </w:rPr>
        <w:t>Supplier</w:t>
      </w:r>
      <w:proofErr w:type="spellEnd"/>
      <w:r w:rsidR="00581A3A">
        <w:rPr>
          <w:rFonts w:ascii="Calibri" w:hAnsi="Calibri" w:cs="Calibri"/>
        </w:rPr>
        <w:t xml:space="preserve"> Innovation Award</w:t>
      </w:r>
      <w:r>
        <w:rPr>
          <w:rFonts w:ascii="Calibri" w:hAnsi="Calibri" w:cs="Calibri"/>
        </w:rPr>
        <w:t xml:space="preserve">. </w:t>
      </w:r>
      <w:r w:rsidR="00581A3A">
        <w:rPr>
          <w:rFonts w:ascii="Calibri" w:hAnsi="Calibri" w:cs="Calibri"/>
        </w:rPr>
        <w:t>Dieser</w:t>
      </w:r>
      <w:r w:rsidRPr="00FD2705">
        <w:rPr>
          <w:rFonts w:ascii="Calibri" w:hAnsi="Calibri" w:cs="Calibri"/>
        </w:rPr>
        <w:t xml:space="preserve"> Preis würdigt vor allem solche Innovationen, die für das Unternehmen einen erhöhten Neuheitsgrad und Mehrwehrt haben, sich einfach umsetzen lassen oder sehr nachhaltig sind. </w:t>
      </w:r>
    </w:p>
    <w:p w:rsidR="00BD4072" w:rsidRPr="00094265" w:rsidRDefault="00F872BB" w:rsidP="0036444B">
      <w:pPr>
        <w:spacing w:after="240" w:line="280" w:lineRule="exact"/>
        <w:jc w:val="both"/>
        <w:rPr>
          <w:rFonts w:ascii="Calibri" w:hAnsi="Calibri" w:cs="Calibri"/>
        </w:rPr>
      </w:pPr>
      <w:r w:rsidRPr="00094265">
        <w:rPr>
          <w:rFonts w:ascii="Calibri" w:hAnsi="Calibri" w:cs="Calibri"/>
        </w:rPr>
        <w:t xml:space="preserve">Als langjähriger zuverlässiger Partner und Lieferant identifiziert sich Plasser &amp; Theurer in besonderem Maße mit den Zielen </w:t>
      </w:r>
      <w:r w:rsidR="00BD4072" w:rsidRPr="00094265">
        <w:rPr>
          <w:rFonts w:ascii="Calibri" w:hAnsi="Calibri" w:cs="Calibri"/>
        </w:rPr>
        <w:t xml:space="preserve">und </w:t>
      </w:r>
      <w:r w:rsidR="00FD2705">
        <w:rPr>
          <w:rFonts w:ascii="Calibri" w:hAnsi="Calibri" w:cs="Calibri"/>
        </w:rPr>
        <w:t xml:space="preserve">der </w:t>
      </w:r>
      <w:r w:rsidR="00BD4072" w:rsidRPr="00094265">
        <w:rPr>
          <w:rFonts w:ascii="Calibri" w:hAnsi="Calibri" w:cs="Calibri"/>
        </w:rPr>
        <w:t xml:space="preserve">Konzernstrategie DB 2020+ </w:t>
      </w:r>
      <w:r w:rsidRPr="00094265">
        <w:rPr>
          <w:rFonts w:ascii="Calibri" w:hAnsi="Calibri" w:cs="Calibri"/>
        </w:rPr>
        <w:t>der Deutschen Bahn AG. „Wir sind stolz auf diese Auszeichnung von der Deutsche</w:t>
      </w:r>
      <w:r w:rsidR="005572B2">
        <w:rPr>
          <w:rFonts w:ascii="Calibri" w:hAnsi="Calibri" w:cs="Calibri"/>
        </w:rPr>
        <w:t>n</w:t>
      </w:r>
      <w:r w:rsidRPr="00094265">
        <w:rPr>
          <w:rFonts w:ascii="Calibri" w:hAnsi="Calibri" w:cs="Calibri"/>
        </w:rPr>
        <w:t xml:space="preserve"> Bahn, denn es ist ein wichtiges Zeichen d</w:t>
      </w:r>
      <w:r w:rsidR="00FD2705">
        <w:rPr>
          <w:rFonts w:ascii="Calibri" w:hAnsi="Calibri" w:cs="Calibri"/>
        </w:rPr>
        <w:t xml:space="preserve">es Vertrauens in unsere Arbeit </w:t>
      </w:r>
      <w:r w:rsidRPr="00094265">
        <w:rPr>
          <w:rFonts w:ascii="Calibri" w:hAnsi="Calibri" w:cs="Calibri"/>
        </w:rPr>
        <w:t>als Zulieferer und Partner</w:t>
      </w:r>
      <w:r w:rsidR="00FD2705">
        <w:rPr>
          <w:rFonts w:ascii="Calibri" w:hAnsi="Calibri" w:cs="Calibri"/>
        </w:rPr>
        <w:t xml:space="preserve"> für das System Bahn</w:t>
      </w:r>
      <w:r w:rsidRPr="00094265">
        <w:rPr>
          <w:rFonts w:ascii="Calibri" w:hAnsi="Calibri" w:cs="Calibri"/>
        </w:rPr>
        <w:t xml:space="preserve">,“ sagt Johannes Max-Theurer, geschäftsführender Gesellschafter von Plasser &amp; Theurer. </w:t>
      </w:r>
    </w:p>
    <w:p w:rsidR="008056BD" w:rsidRDefault="008056BD" w:rsidP="00943F87">
      <w:pPr>
        <w:spacing w:after="0"/>
        <w:jc w:val="both"/>
        <w:rPr>
          <w:rStyle w:val="SchwacheHervorhebung"/>
        </w:rPr>
      </w:pPr>
      <w:r>
        <w:rPr>
          <w:rStyle w:val="SchwacheHervorhebung"/>
        </w:rPr>
        <w:t>Bildtexte</w:t>
      </w:r>
    </w:p>
    <w:tbl>
      <w:tblPr>
        <w:tblStyle w:val="Tabellenraster"/>
        <w:tblW w:w="9212" w:type="dxa"/>
        <w:tblLayout w:type="fixed"/>
        <w:tblLook w:val="04A0" w:firstRow="1" w:lastRow="0" w:firstColumn="1" w:lastColumn="0" w:noHBand="0" w:noVBand="1"/>
      </w:tblPr>
      <w:tblGrid>
        <w:gridCol w:w="2093"/>
        <w:gridCol w:w="1984"/>
        <w:gridCol w:w="5135"/>
      </w:tblGrid>
      <w:tr w:rsidR="008056BD" w:rsidRPr="008E68CE" w:rsidTr="00B65F51">
        <w:tc>
          <w:tcPr>
            <w:tcW w:w="2093" w:type="dxa"/>
          </w:tcPr>
          <w:p w:rsidR="008056BD" w:rsidRPr="008E68CE" w:rsidRDefault="008056BD" w:rsidP="00426A49">
            <w:pPr>
              <w:jc w:val="both"/>
              <w:rPr>
                <w:rStyle w:val="SchwacheHervorhebung"/>
              </w:rPr>
            </w:pPr>
            <w:r w:rsidRPr="008E68CE">
              <w:rPr>
                <w:rStyle w:val="SchwacheHervorhebung"/>
              </w:rPr>
              <w:t>Bild</w:t>
            </w:r>
          </w:p>
        </w:tc>
        <w:tc>
          <w:tcPr>
            <w:tcW w:w="1984" w:type="dxa"/>
          </w:tcPr>
          <w:p w:rsidR="008056BD" w:rsidRPr="008E68CE" w:rsidRDefault="008056BD" w:rsidP="00426A49">
            <w:pPr>
              <w:jc w:val="both"/>
              <w:rPr>
                <w:rStyle w:val="SchwacheHervorhebung"/>
              </w:rPr>
            </w:pPr>
            <w:r w:rsidRPr="008E68CE">
              <w:rPr>
                <w:rStyle w:val="SchwacheHervorhebung"/>
              </w:rPr>
              <w:t>Dateibezeichnung</w:t>
            </w:r>
          </w:p>
        </w:tc>
        <w:tc>
          <w:tcPr>
            <w:tcW w:w="5135" w:type="dxa"/>
          </w:tcPr>
          <w:p w:rsidR="008056BD" w:rsidRPr="0003137D" w:rsidRDefault="008056BD" w:rsidP="00426A49">
            <w:pPr>
              <w:jc w:val="both"/>
              <w:rPr>
                <w:rStyle w:val="SchwacheHervorhebung"/>
                <w:i w:val="0"/>
              </w:rPr>
            </w:pPr>
            <w:r w:rsidRPr="0003137D">
              <w:rPr>
                <w:rStyle w:val="SchwacheHervorhebung"/>
              </w:rPr>
              <w:t>Bildbeschreibung</w:t>
            </w:r>
          </w:p>
        </w:tc>
      </w:tr>
      <w:tr w:rsidR="008056BD" w:rsidRPr="008E68CE" w:rsidTr="00B65F51">
        <w:sdt>
          <w:sdtPr>
            <w:rPr>
              <w:rStyle w:val="SchwacheHervorhebung"/>
            </w:rPr>
            <w:id w:val="311991434"/>
            <w:picture/>
          </w:sdtPr>
          <w:sdtEndPr>
            <w:rPr>
              <w:rStyle w:val="SchwacheHervorhebung"/>
            </w:rPr>
          </w:sdtEndPr>
          <w:sdtContent>
            <w:tc>
              <w:tcPr>
                <w:tcW w:w="2093" w:type="dxa"/>
              </w:tcPr>
              <w:p w:rsidR="008056BD" w:rsidRPr="008E68CE" w:rsidRDefault="008056BD" w:rsidP="00426A49">
                <w:pPr>
                  <w:jc w:val="both"/>
                  <w:rPr>
                    <w:rStyle w:val="SchwacheHervorhebung"/>
                  </w:rPr>
                </w:pPr>
                <w:r>
                  <w:rPr>
                    <w:i/>
                    <w:iCs/>
                    <w:noProof/>
                    <w:color w:val="808080" w:themeColor="text1" w:themeTint="7F"/>
                    <w:lang w:eastAsia="de-DE"/>
                  </w:rPr>
                  <w:drawing>
                    <wp:inline distT="0" distB="0" distL="0" distR="0" wp14:anchorId="43F2B37C" wp14:editId="50DC84CC">
                      <wp:extent cx="1183185" cy="78886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3185" cy="788865"/>
                              </a:xfrm>
                              <a:prstGeom prst="rect">
                                <a:avLst/>
                              </a:prstGeom>
                              <a:noFill/>
                              <a:ln>
                                <a:noFill/>
                              </a:ln>
                            </pic:spPr>
                          </pic:pic>
                        </a:graphicData>
                      </a:graphic>
                    </wp:inline>
                  </w:drawing>
                </w:r>
              </w:p>
            </w:tc>
          </w:sdtContent>
        </w:sdt>
        <w:tc>
          <w:tcPr>
            <w:tcW w:w="1984" w:type="dxa"/>
          </w:tcPr>
          <w:p w:rsidR="008056BD" w:rsidRPr="008E68CE" w:rsidRDefault="008056BD" w:rsidP="00426A49">
            <w:pPr>
              <w:jc w:val="both"/>
              <w:rPr>
                <w:rStyle w:val="SchwacheHervorhebung"/>
              </w:rPr>
            </w:pPr>
          </w:p>
        </w:tc>
        <w:tc>
          <w:tcPr>
            <w:tcW w:w="5135" w:type="dxa"/>
          </w:tcPr>
          <w:p w:rsidR="001102B6" w:rsidRDefault="001102B6" w:rsidP="00426A49">
            <w:pPr>
              <w:jc w:val="both"/>
              <w:rPr>
                <w:rStyle w:val="SchwacheHervorhebung"/>
                <w:i w:val="0"/>
              </w:rPr>
            </w:pPr>
            <w:r>
              <w:rPr>
                <w:rStyle w:val="SchwacheHervorhebung"/>
                <w:i w:val="0"/>
              </w:rPr>
              <w:t>Verleihung des DB-</w:t>
            </w:r>
            <w:r w:rsidR="00FD2705">
              <w:rPr>
                <w:rStyle w:val="SchwacheHervorhebung"/>
                <w:i w:val="0"/>
              </w:rPr>
              <w:t>Lieferantenprädik</w:t>
            </w:r>
            <w:r w:rsidR="00426A49">
              <w:rPr>
                <w:rStyle w:val="SchwacheHervorhebung"/>
                <w:i w:val="0"/>
              </w:rPr>
              <w:t>at</w:t>
            </w:r>
            <w:r>
              <w:rPr>
                <w:rStyle w:val="SchwacheHervorhebung"/>
                <w:i w:val="0"/>
              </w:rPr>
              <w:t>s</w:t>
            </w:r>
            <w:r w:rsidR="00426A49">
              <w:rPr>
                <w:rStyle w:val="SchwacheHervorhebung"/>
                <w:i w:val="0"/>
              </w:rPr>
              <w:t xml:space="preserve"> an </w:t>
            </w:r>
          </w:p>
          <w:p w:rsidR="001102B6" w:rsidRDefault="00426A49" w:rsidP="00426A49">
            <w:pPr>
              <w:jc w:val="both"/>
              <w:rPr>
                <w:rStyle w:val="SchwacheHervorhebung"/>
                <w:i w:val="0"/>
              </w:rPr>
            </w:pPr>
            <w:r>
              <w:rPr>
                <w:rStyle w:val="SchwacheHervorhebung"/>
                <w:i w:val="0"/>
              </w:rPr>
              <w:t xml:space="preserve">Plasser &amp; </w:t>
            </w:r>
            <w:proofErr w:type="spellStart"/>
            <w:r>
              <w:rPr>
                <w:rStyle w:val="SchwacheHervorhebung"/>
                <w:i w:val="0"/>
              </w:rPr>
              <w:t>Theurer</w:t>
            </w:r>
            <w:proofErr w:type="spellEnd"/>
            <w:r>
              <w:rPr>
                <w:rStyle w:val="SchwacheHervorhebung"/>
                <w:i w:val="0"/>
              </w:rPr>
              <w:t xml:space="preserve"> am 18. September 2018 </w:t>
            </w:r>
          </w:p>
          <w:p w:rsidR="008056BD" w:rsidRDefault="00426A49" w:rsidP="00426A49">
            <w:pPr>
              <w:jc w:val="both"/>
              <w:rPr>
                <w:rStyle w:val="SchwacheHervorhebung"/>
                <w:i w:val="0"/>
              </w:rPr>
            </w:pPr>
            <w:bookmarkStart w:id="0" w:name="_GoBack"/>
            <w:bookmarkEnd w:id="0"/>
            <w:r>
              <w:rPr>
                <w:rStyle w:val="SchwacheHervorhebung"/>
                <w:i w:val="0"/>
              </w:rPr>
              <w:t xml:space="preserve">auf der </w:t>
            </w:r>
            <w:proofErr w:type="spellStart"/>
            <w:r>
              <w:rPr>
                <w:rStyle w:val="SchwacheHervorhebung"/>
                <w:i w:val="0"/>
              </w:rPr>
              <w:t>InnoTrans</w:t>
            </w:r>
            <w:proofErr w:type="spellEnd"/>
            <w:r>
              <w:rPr>
                <w:rStyle w:val="SchwacheHervorhebung"/>
                <w:i w:val="0"/>
              </w:rPr>
              <w:t xml:space="preserve">. </w:t>
            </w:r>
          </w:p>
          <w:p w:rsidR="00426A49" w:rsidRPr="00A46D1C" w:rsidRDefault="00426A49" w:rsidP="00426A49">
            <w:pPr>
              <w:jc w:val="both"/>
              <w:rPr>
                <w:rStyle w:val="SchwacheHervorhebung"/>
                <w:i w:val="0"/>
              </w:rPr>
            </w:pPr>
            <w:r>
              <w:rPr>
                <w:rStyle w:val="SchwacheHervorhebung"/>
                <w:i w:val="0"/>
              </w:rPr>
              <w:t xml:space="preserve">©Deutsche Bahn AG, Kai Michael </w:t>
            </w:r>
            <w:proofErr w:type="spellStart"/>
            <w:r>
              <w:rPr>
                <w:rStyle w:val="SchwacheHervorhebung"/>
                <w:i w:val="0"/>
              </w:rPr>
              <w:t>Neuhold</w:t>
            </w:r>
            <w:proofErr w:type="spellEnd"/>
          </w:p>
        </w:tc>
      </w:tr>
    </w:tbl>
    <w:p w:rsidR="00865664" w:rsidRDefault="00865664" w:rsidP="00943F87">
      <w:pPr>
        <w:jc w:val="both"/>
      </w:pPr>
    </w:p>
    <w:sectPr w:rsidR="00865664" w:rsidSect="00943F87">
      <w:footerReference w:type="default" r:id="rId11"/>
      <w:footerReference w:type="first" r:id="rId12"/>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AF" w:rsidRDefault="00B312AF">
      <w:pPr>
        <w:spacing w:after="0" w:line="240" w:lineRule="auto"/>
      </w:pPr>
      <w:r>
        <w:separator/>
      </w:r>
    </w:p>
  </w:endnote>
  <w:endnote w:type="continuationSeparator" w:id="0">
    <w:p w:rsidR="00B312AF" w:rsidRDefault="00B3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405606">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1102B6">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AF" w:rsidRDefault="00B312AF">
      <w:pPr>
        <w:spacing w:after="0" w:line="240" w:lineRule="auto"/>
      </w:pPr>
      <w:r>
        <w:separator/>
      </w:r>
    </w:p>
  </w:footnote>
  <w:footnote w:type="continuationSeparator" w:id="0">
    <w:p w:rsidR="00B312AF" w:rsidRDefault="00B3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de-DE"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8586A"/>
    <w:rsid w:val="00094265"/>
    <w:rsid w:val="0009469A"/>
    <w:rsid w:val="000B0A83"/>
    <w:rsid w:val="000D689B"/>
    <w:rsid w:val="000E3092"/>
    <w:rsid w:val="000F1D64"/>
    <w:rsid w:val="001102B6"/>
    <w:rsid w:val="00145F7C"/>
    <w:rsid w:val="0017244E"/>
    <w:rsid w:val="00176224"/>
    <w:rsid w:val="001B1598"/>
    <w:rsid w:val="001E0358"/>
    <w:rsid w:val="001E4117"/>
    <w:rsid w:val="00220ACB"/>
    <w:rsid w:val="00234812"/>
    <w:rsid w:val="00252218"/>
    <w:rsid w:val="00260B4D"/>
    <w:rsid w:val="002D0380"/>
    <w:rsid w:val="002D601E"/>
    <w:rsid w:val="00346EF1"/>
    <w:rsid w:val="0036444B"/>
    <w:rsid w:val="00385817"/>
    <w:rsid w:val="00386BEA"/>
    <w:rsid w:val="00393C59"/>
    <w:rsid w:val="00405606"/>
    <w:rsid w:val="0041393E"/>
    <w:rsid w:val="00426A49"/>
    <w:rsid w:val="004D4DF7"/>
    <w:rsid w:val="004F4A85"/>
    <w:rsid w:val="00555B27"/>
    <w:rsid w:val="005572B2"/>
    <w:rsid w:val="00580523"/>
    <w:rsid w:val="00581A3A"/>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311AC"/>
    <w:rsid w:val="007416ED"/>
    <w:rsid w:val="00770BF2"/>
    <w:rsid w:val="007C53E0"/>
    <w:rsid w:val="0080077E"/>
    <w:rsid w:val="008056BD"/>
    <w:rsid w:val="00821B3C"/>
    <w:rsid w:val="00865664"/>
    <w:rsid w:val="0087493F"/>
    <w:rsid w:val="008D3ACA"/>
    <w:rsid w:val="008D5BC4"/>
    <w:rsid w:val="009349B8"/>
    <w:rsid w:val="00943F87"/>
    <w:rsid w:val="00963BB6"/>
    <w:rsid w:val="009B047A"/>
    <w:rsid w:val="009B7071"/>
    <w:rsid w:val="009C1A38"/>
    <w:rsid w:val="009D1D97"/>
    <w:rsid w:val="00A31A01"/>
    <w:rsid w:val="00A33066"/>
    <w:rsid w:val="00A46D1C"/>
    <w:rsid w:val="00A502C8"/>
    <w:rsid w:val="00B312AF"/>
    <w:rsid w:val="00B65F51"/>
    <w:rsid w:val="00B910D5"/>
    <w:rsid w:val="00BA4228"/>
    <w:rsid w:val="00BC53F3"/>
    <w:rsid w:val="00BD4072"/>
    <w:rsid w:val="00BE5E99"/>
    <w:rsid w:val="00C1057F"/>
    <w:rsid w:val="00C57E5E"/>
    <w:rsid w:val="00C66D6F"/>
    <w:rsid w:val="00C67F35"/>
    <w:rsid w:val="00CC0440"/>
    <w:rsid w:val="00CC5144"/>
    <w:rsid w:val="00CF34DD"/>
    <w:rsid w:val="00D155CA"/>
    <w:rsid w:val="00DC7EBB"/>
    <w:rsid w:val="00E109E4"/>
    <w:rsid w:val="00E42A33"/>
    <w:rsid w:val="00EA3560"/>
    <w:rsid w:val="00EB4A9B"/>
    <w:rsid w:val="00EE71CA"/>
    <w:rsid w:val="00EF0282"/>
    <w:rsid w:val="00F21CED"/>
    <w:rsid w:val="00F823CE"/>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1B55"/>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D2F0-A207-4BD5-BDB8-C891EEB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Postfach Presse</dc:creator>
  <cp:keywords/>
  <dc:description/>
  <cp:lastModifiedBy>Postfach Presse</cp:lastModifiedBy>
  <cp:revision>5</cp:revision>
  <cp:lastPrinted>2018-09-20T11:56:00Z</cp:lastPrinted>
  <dcterms:created xsi:type="dcterms:W3CDTF">2018-09-20T12:06:00Z</dcterms:created>
  <dcterms:modified xsi:type="dcterms:W3CDTF">2018-09-20T12:41:00Z</dcterms:modified>
</cp:coreProperties>
</file>